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E6" w:rsidRDefault="00647178">
      <w:pPr>
        <w:pStyle w:val="a3"/>
        <w:ind w:left="805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732098" cy="10744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98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BE6" w:rsidRDefault="00647178">
      <w:pPr>
        <w:pStyle w:val="a3"/>
        <w:spacing w:before="108"/>
        <w:ind w:left="3714" w:right="3693"/>
        <w:jc w:val="center"/>
      </w:pPr>
      <w:r>
        <w:rPr>
          <w:color w:val="0E9FDF"/>
          <w:spacing w:val="-2"/>
        </w:rPr>
        <w:t>Curriculum</w:t>
      </w:r>
      <w:r>
        <w:rPr>
          <w:color w:val="0E9FDF"/>
          <w:spacing w:val="2"/>
        </w:rPr>
        <w:t xml:space="preserve"> </w:t>
      </w:r>
      <w:r>
        <w:rPr>
          <w:color w:val="0E9FDF"/>
          <w:spacing w:val="-4"/>
        </w:rPr>
        <w:t>Vitae</w:t>
      </w:r>
    </w:p>
    <w:p w:rsidR="00A80BE6" w:rsidRDefault="00A80BE6">
      <w:pPr>
        <w:pStyle w:val="a3"/>
        <w:rPr>
          <w:sz w:val="20"/>
        </w:rPr>
      </w:pPr>
    </w:p>
    <w:p w:rsidR="00A80BE6" w:rsidRDefault="00A80BE6">
      <w:pPr>
        <w:pStyle w:val="a3"/>
        <w:rPr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478"/>
      </w:tblGrid>
      <w:tr w:rsidR="00A80BE6">
        <w:trPr>
          <w:trHeight w:val="330"/>
        </w:trPr>
        <w:tc>
          <w:tcPr>
            <w:tcW w:w="2555" w:type="dxa"/>
          </w:tcPr>
          <w:p w:rsidR="00A80BE6" w:rsidRDefault="00647178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Surname:</w:t>
            </w:r>
          </w:p>
        </w:tc>
        <w:tc>
          <w:tcPr>
            <w:tcW w:w="6478" w:type="dxa"/>
          </w:tcPr>
          <w:p w:rsidR="00A80BE6" w:rsidRDefault="00973E90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Mammadova</w:t>
            </w:r>
            <w:proofErr w:type="spellEnd"/>
          </w:p>
        </w:tc>
      </w:tr>
      <w:tr w:rsidR="00A80BE6">
        <w:trPr>
          <w:trHeight w:val="330"/>
        </w:trPr>
        <w:tc>
          <w:tcPr>
            <w:tcW w:w="2555" w:type="dxa"/>
          </w:tcPr>
          <w:p w:rsidR="00A80BE6" w:rsidRDefault="00647178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6478" w:type="dxa"/>
          </w:tcPr>
          <w:p w:rsidR="00A80BE6" w:rsidRDefault="00973E90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Aytakin</w:t>
            </w:r>
            <w:proofErr w:type="spellEnd"/>
          </w:p>
        </w:tc>
      </w:tr>
      <w:tr w:rsidR="00A80BE6">
        <w:trPr>
          <w:trHeight w:val="330"/>
        </w:trPr>
        <w:tc>
          <w:tcPr>
            <w:tcW w:w="2555" w:type="dxa"/>
          </w:tcPr>
          <w:p w:rsidR="00A80BE6" w:rsidRDefault="00647178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Birth:</w:t>
            </w:r>
          </w:p>
        </w:tc>
        <w:tc>
          <w:tcPr>
            <w:tcW w:w="6478" w:type="dxa"/>
          </w:tcPr>
          <w:p w:rsidR="00A80BE6" w:rsidRDefault="00973E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16.10.1986</w:t>
            </w:r>
          </w:p>
        </w:tc>
      </w:tr>
      <w:tr w:rsidR="00A80BE6">
        <w:trPr>
          <w:trHeight w:val="336"/>
        </w:trPr>
        <w:tc>
          <w:tcPr>
            <w:tcW w:w="2555" w:type="dxa"/>
          </w:tcPr>
          <w:p w:rsidR="00A80BE6" w:rsidRDefault="00647178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Qualification:</w:t>
            </w:r>
          </w:p>
        </w:tc>
        <w:tc>
          <w:tcPr>
            <w:tcW w:w="6478" w:type="dxa"/>
          </w:tcPr>
          <w:p w:rsidR="00A80BE6" w:rsidRDefault="00973E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Dissertation Candidate </w:t>
            </w:r>
          </w:p>
        </w:tc>
      </w:tr>
      <w:tr w:rsidR="00A80BE6">
        <w:trPr>
          <w:trHeight w:val="513"/>
        </w:trPr>
        <w:tc>
          <w:tcPr>
            <w:tcW w:w="2555" w:type="dxa"/>
          </w:tcPr>
          <w:p w:rsidR="00A80BE6" w:rsidRDefault="00647178">
            <w:pPr>
              <w:pStyle w:val="TableParagraph"/>
              <w:spacing w:before="18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Venia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Legendi</w:t>
            </w:r>
            <w:proofErr w:type="spellEnd"/>
            <w:r>
              <w:rPr>
                <w:b/>
                <w:sz w:val="20"/>
              </w:rPr>
              <w:t xml:space="preserve"> (qualification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teach):</w:t>
            </w:r>
          </w:p>
        </w:tc>
        <w:tc>
          <w:tcPr>
            <w:tcW w:w="6478" w:type="dxa"/>
          </w:tcPr>
          <w:p w:rsidR="00A80BE6" w:rsidRDefault="00973E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Management</w:t>
            </w:r>
          </w:p>
        </w:tc>
      </w:tr>
      <w:tr w:rsidR="00A80BE6">
        <w:trPr>
          <w:trHeight w:val="330"/>
        </w:trPr>
        <w:tc>
          <w:tcPr>
            <w:tcW w:w="2555" w:type="dxa"/>
          </w:tcPr>
          <w:p w:rsidR="00A80BE6" w:rsidRDefault="00647178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Qualifications:</w:t>
            </w:r>
          </w:p>
        </w:tc>
        <w:tc>
          <w:tcPr>
            <w:tcW w:w="6478" w:type="dxa"/>
          </w:tcPr>
          <w:p w:rsidR="00A80BE6" w:rsidRDefault="00973E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Certification</w:t>
            </w:r>
            <w:r w:rsidR="00BA7DEF"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 xml:space="preserve"> in Human Resources Management, Soft Skills, Clerical, Labor Law</w:t>
            </w:r>
          </w:p>
        </w:tc>
      </w:tr>
      <w:tr w:rsidR="00A80BE6">
        <w:trPr>
          <w:trHeight w:val="335"/>
        </w:trPr>
        <w:tc>
          <w:tcPr>
            <w:tcW w:w="9033" w:type="dxa"/>
            <w:gridSpan w:val="2"/>
            <w:tcBorders>
              <w:left w:val="nil"/>
              <w:right w:val="nil"/>
            </w:tcBorders>
          </w:tcPr>
          <w:p w:rsidR="00A80BE6" w:rsidRDefault="00A80B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BE6">
        <w:trPr>
          <w:trHeight w:val="744"/>
        </w:trPr>
        <w:tc>
          <w:tcPr>
            <w:tcW w:w="2555" w:type="dxa"/>
          </w:tcPr>
          <w:p w:rsidR="00A80BE6" w:rsidRDefault="00647178">
            <w:pPr>
              <w:pStyle w:val="TableParagraph"/>
              <w:spacing w:before="25" w:line="237" w:lineRule="auto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At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Higher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Education Institution (to be accredited) since:</w:t>
            </w:r>
          </w:p>
        </w:tc>
        <w:tc>
          <w:tcPr>
            <w:tcW w:w="6478" w:type="dxa"/>
          </w:tcPr>
          <w:p w:rsidR="00A80BE6" w:rsidRDefault="00973E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Since 2004 at UNEC</w:t>
            </w:r>
          </w:p>
        </w:tc>
      </w:tr>
      <w:tr w:rsidR="00A80BE6">
        <w:trPr>
          <w:trHeight w:val="518"/>
        </w:trPr>
        <w:tc>
          <w:tcPr>
            <w:tcW w:w="2555" w:type="dxa"/>
          </w:tcPr>
          <w:p w:rsidR="00A80BE6" w:rsidRDefault="00647178">
            <w:pPr>
              <w:pStyle w:val="TableParagraph"/>
              <w:spacing w:before="23"/>
              <w:ind w:left="28" w:right="363"/>
              <w:rPr>
                <w:b/>
                <w:sz w:val="20"/>
              </w:rPr>
            </w:pPr>
            <w:r>
              <w:rPr>
                <w:b/>
                <w:sz w:val="20"/>
              </w:rPr>
              <w:t>Level of Employment (part-time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full-time):</w:t>
            </w:r>
          </w:p>
        </w:tc>
        <w:tc>
          <w:tcPr>
            <w:tcW w:w="6478" w:type="dxa"/>
          </w:tcPr>
          <w:p w:rsidR="00A80BE6" w:rsidRDefault="00973E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Full-time</w:t>
            </w:r>
          </w:p>
        </w:tc>
      </w:tr>
      <w:tr w:rsidR="00A80BE6">
        <w:trPr>
          <w:trHeight w:val="330"/>
        </w:trPr>
        <w:tc>
          <w:tcPr>
            <w:tcW w:w="2555" w:type="dxa"/>
            <w:tcBorders>
              <w:bottom w:val="nil"/>
            </w:tcBorders>
          </w:tcPr>
          <w:p w:rsidR="00A80BE6" w:rsidRDefault="00647178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Focus:</w:t>
            </w:r>
          </w:p>
        </w:tc>
        <w:tc>
          <w:tcPr>
            <w:tcW w:w="6478" w:type="dxa"/>
          </w:tcPr>
          <w:p w:rsidR="00A80BE6" w:rsidRDefault="00973E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Human Resource Management, </w:t>
            </w:r>
            <w:r w:rsidR="00BA7DEF">
              <w:rPr>
                <w:rFonts w:ascii="Times New Roman"/>
                <w:sz w:val="20"/>
              </w:rPr>
              <w:t>L</w:t>
            </w:r>
            <w:r>
              <w:rPr>
                <w:rFonts w:ascii="Times New Roman"/>
                <w:sz w:val="20"/>
              </w:rPr>
              <w:t>abor economics, Quality management, Competition Strategy</w:t>
            </w:r>
          </w:p>
        </w:tc>
      </w:tr>
      <w:tr w:rsidR="00A80BE6">
        <w:trPr>
          <w:trHeight w:val="330"/>
        </w:trPr>
        <w:tc>
          <w:tcPr>
            <w:tcW w:w="2555" w:type="dxa"/>
            <w:tcBorders>
              <w:top w:val="nil"/>
            </w:tcBorders>
          </w:tcPr>
          <w:p w:rsidR="00A80BE6" w:rsidRDefault="00647178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Interdisciplinary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Aspects:</w:t>
            </w:r>
          </w:p>
        </w:tc>
        <w:tc>
          <w:tcPr>
            <w:tcW w:w="6478" w:type="dxa"/>
          </w:tcPr>
          <w:p w:rsidR="00A80BE6" w:rsidRDefault="00973E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Labor law, Psychology</w:t>
            </w:r>
          </w:p>
        </w:tc>
      </w:tr>
      <w:tr w:rsidR="00A80BE6">
        <w:trPr>
          <w:trHeight w:val="336"/>
        </w:trPr>
        <w:tc>
          <w:tcPr>
            <w:tcW w:w="2555" w:type="dxa"/>
            <w:tcBorders>
              <w:bottom w:val="nil"/>
            </w:tcBorders>
          </w:tcPr>
          <w:p w:rsidR="00A80BE6" w:rsidRDefault="00647178">
            <w:pPr>
              <w:pStyle w:val="TableParagraph"/>
              <w:spacing w:before="24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Activities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Areas:</w:t>
            </w:r>
          </w:p>
        </w:tc>
        <w:tc>
          <w:tcPr>
            <w:tcW w:w="6478" w:type="dxa"/>
          </w:tcPr>
          <w:p w:rsidR="00A80BE6" w:rsidRDefault="00A80B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BE6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:rsidR="00A80BE6" w:rsidRDefault="00647178">
            <w:pPr>
              <w:pStyle w:val="TableParagraph"/>
              <w:tabs>
                <w:tab w:val="left" w:pos="388"/>
              </w:tabs>
              <w:spacing w:before="18"/>
              <w:ind w:left="28"/>
              <w:rPr>
                <w:b/>
                <w:sz w:val="20"/>
              </w:rPr>
            </w:pPr>
            <w:r>
              <w:rPr>
                <w:rFonts w:ascii="Arial MT"/>
                <w:spacing w:val="-10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z w:val="20"/>
              </w:rPr>
              <w:t>Further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Education</w:t>
            </w:r>
          </w:p>
        </w:tc>
        <w:tc>
          <w:tcPr>
            <w:tcW w:w="6478" w:type="dxa"/>
          </w:tcPr>
          <w:p w:rsidR="00A80BE6" w:rsidRDefault="0077428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PhD</w:t>
            </w:r>
          </w:p>
        </w:tc>
      </w:tr>
      <w:tr w:rsidR="00A80BE6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:rsidR="00A80BE6" w:rsidRDefault="00647178">
            <w:pPr>
              <w:pStyle w:val="TableParagraph"/>
              <w:tabs>
                <w:tab w:val="left" w:pos="388"/>
              </w:tabs>
              <w:spacing w:before="23"/>
              <w:ind w:left="28"/>
              <w:rPr>
                <w:b/>
                <w:sz w:val="20"/>
              </w:rPr>
            </w:pPr>
            <w:r>
              <w:rPr>
                <w:rFonts w:ascii="Arial MT"/>
                <w:spacing w:val="-10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pacing w:val="-2"/>
                <w:sz w:val="20"/>
              </w:rPr>
              <w:t>Research</w:t>
            </w:r>
          </w:p>
        </w:tc>
        <w:tc>
          <w:tcPr>
            <w:tcW w:w="6478" w:type="dxa"/>
          </w:tcPr>
          <w:p w:rsidR="00A80BE6" w:rsidRDefault="0077428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General Economics</w:t>
            </w:r>
          </w:p>
        </w:tc>
      </w:tr>
      <w:tr w:rsidR="00A80BE6">
        <w:trPr>
          <w:trHeight w:val="330"/>
        </w:trPr>
        <w:tc>
          <w:tcPr>
            <w:tcW w:w="2555" w:type="dxa"/>
            <w:tcBorders>
              <w:top w:val="nil"/>
            </w:tcBorders>
          </w:tcPr>
          <w:p w:rsidR="00A80BE6" w:rsidRDefault="00647178">
            <w:pPr>
              <w:pStyle w:val="TableParagraph"/>
              <w:tabs>
                <w:tab w:val="left" w:pos="388"/>
              </w:tabs>
              <w:spacing w:before="23"/>
              <w:ind w:left="28"/>
              <w:rPr>
                <w:b/>
                <w:sz w:val="20"/>
              </w:rPr>
            </w:pPr>
            <w:r>
              <w:rPr>
                <w:rFonts w:ascii="Arial MT"/>
                <w:spacing w:val="-10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pacing w:val="-2"/>
                <w:sz w:val="20"/>
              </w:rPr>
              <w:t>Consultancy</w:t>
            </w:r>
          </w:p>
        </w:tc>
        <w:tc>
          <w:tcPr>
            <w:tcW w:w="6478" w:type="dxa"/>
          </w:tcPr>
          <w:p w:rsidR="00A80BE6" w:rsidRDefault="0077428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Lecturer</w:t>
            </w:r>
          </w:p>
        </w:tc>
      </w:tr>
      <w:tr w:rsidR="00A80BE6">
        <w:trPr>
          <w:trHeight w:val="979"/>
        </w:trPr>
        <w:tc>
          <w:tcPr>
            <w:tcW w:w="2555" w:type="dxa"/>
          </w:tcPr>
          <w:p w:rsidR="00A80BE6" w:rsidRDefault="00647178">
            <w:pPr>
              <w:pStyle w:val="TableParagraph"/>
              <w:spacing w:before="23"/>
              <w:ind w:left="28" w:right="363"/>
              <w:rPr>
                <w:b/>
                <w:sz w:val="20"/>
              </w:rPr>
            </w:pPr>
            <w:r>
              <w:rPr>
                <w:b/>
                <w:sz w:val="20"/>
              </w:rPr>
              <w:t>How are personal research activities reflected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teaching </w:t>
            </w:r>
            <w:r>
              <w:rPr>
                <w:b/>
                <w:spacing w:val="-2"/>
                <w:sz w:val="20"/>
              </w:rPr>
              <w:t>activities?</w:t>
            </w:r>
          </w:p>
        </w:tc>
        <w:tc>
          <w:tcPr>
            <w:tcW w:w="6478" w:type="dxa"/>
          </w:tcPr>
          <w:p w:rsidR="0077428B" w:rsidRDefault="0077428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Preparing of improved degree programs taught for the programs of Human Resource Management, Competition Strategy. </w:t>
            </w:r>
          </w:p>
          <w:p w:rsidR="00A80BE6" w:rsidRDefault="0077428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Preparing of textbooks, methodical materials and lectures </w:t>
            </w:r>
          </w:p>
        </w:tc>
      </w:tr>
      <w:tr w:rsidR="00A80BE6">
        <w:trPr>
          <w:trHeight w:val="330"/>
        </w:trPr>
        <w:tc>
          <w:tcPr>
            <w:tcW w:w="9033" w:type="dxa"/>
            <w:gridSpan w:val="2"/>
            <w:tcBorders>
              <w:left w:val="nil"/>
              <w:right w:val="nil"/>
            </w:tcBorders>
          </w:tcPr>
          <w:p w:rsidR="00A80BE6" w:rsidRDefault="00A80B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BE6">
        <w:trPr>
          <w:trHeight w:val="330"/>
        </w:trPr>
        <w:tc>
          <w:tcPr>
            <w:tcW w:w="2555" w:type="dxa"/>
            <w:tcBorders>
              <w:bottom w:val="nil"/>
            </w:tcBorders>
          </w:tcPr>
          <w:p w:rsidR="00A80BE6" w:rsidRDefault="00647178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experience:</w:t>
            </w:r>
          </w:p>
        </w:tc>
        <w:tc>
          <w:tcPr>
            <w:tcW w:w="6478" w:type="dxa"/>
          </w:tcPr>
          <w:p w:rsidR="00A80BE6" w:rsidRDefault="00A80B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BE6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:rsidR="00A80BE6" w:rsidRDefault="00647178">
            <w:pPr>
              <w:pStyle w:val="TableParagraph"/>
              <w:tabs>
                <w:tab w:val="left" w:pos="388"/>
              </w:tabs>
              <w:spacing w:before="23"/>
              <w:ind w:left="28"/>
              <w:rPr>
                <w:b/>
                <w:sz w:val="20"/>
              </w:rPr>
            </w:pPr>
            <w:r>
              <w:rPr>
                <w:rFonts w:ascii="Arial MT"/>
                <w:spacing w:val="-10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pacing w:val="-2"/>
                <w:sz w:val="20"/>
              </w:rPr>
              <w:t>General</w:t>
            </w:r>
          </w:p>
        </w:tc>
        <w:tc>
          <w:tcPr>
            <w:tcW w:w="6478" w:type="dxa"/>
          </w:tcPr>
          <w:p w:rsidR="00A80BE6" w:rsidRDefault="001B396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 years</w:t>
            </w:r>
          </w:p>
        </w:tc>
      </w:tr>
      <w:tr w:rsidR="00A80BE6">
        <w:trPr>
          <w:trHeight w:val="518"/>
        </w:trPr>
        <w:tc>
          <w:tcPr>
            <w:tcW w:w="2555" w:type="dxa"/>
            <w:tcBorders>
              <w:top w:val="nil"/>
            </w:tcBorders>
          </w:tcPr>
          <w:p w:rsidR="00A80BE6" w:rsidRDefault="00647178">
            <w:pPr>
              <w:pStyle w:val="TableParagraph"/>
              <w:tabs>
                <w:tab w:val="left" w:pos="388"/>
              </w:tabs>
              <w:spacing w:before="24"/>
              <w:ind w:left="388" w:right="695" w:hanging="360"/>
              <w:rPr>
                <w:b/>
                <w:sz w:val="20"/>
              </w:rPr>
            </w:pPr>
            <w:r>
              <w:rPr>
                <w:rFonts w:ascii="Arial MT"/>
                <w:spacing w:val="-10"/>
                <w:sz w:val="16"/>
              </w:rPr>
              <w:t>-</w:t>
            </w:r>
            <w:r>
              <w:rPr>
                <w:rFonts w:ascii="Arial MT"/>
                <w:sz w:val="16"/>
              </w:rPr>
              <w:tab/>
            </w:r>
            <w:r>
              <w:rPr>
                <w:b/>
                <w:sz w:val="20"/>
              </w:rPr>
              <w:t>Activities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 </w:t>
            </w:r>
            <w:r>
              <w:rPr>
                <w:b/>
                <w:spacing w:val="-2"/>
                <w:sz w:val="20"/>
              </w:rPr>
              <w:t>Expert:</w:t>
            </w:r>
          </w:p>
        </w:tc>
        <w:tc>
          <w:tcPr>
            <w:tcW w:w="6478" w:type="dxa"/>
          </w:tcPr>
          <w:p w:rsidR="00A80BE6" w:rsidRDefault="001B396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Lecturer</w:t>
            </w:r>
          </w:p>
        </w:tc>
      </w:tr>
      <w:tr w:rsidR="00A80BE6" w:rsidRPr="00520D3E">
        <w:trPr>
          <w:trHeight w:val="330"/>
        </w:trPr>
        <w:tc>
          <w:tcPr>
            <w:tcW w:w="2555" w:type="dxa"/>
          </w:tcPr>
          <w:p w:rsidR="00A80BE6" w:rsidRDefault="00647178">
            <w:pPr>
              <w:pStyle w:val="TableParagraph"/>
              <w:spacing w:before="23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Publications:</w:t>
            </w:r>
          </w:p>
        </w:tc>
        <w:tc>
          <w:tcPr>
            <w:tcW w:w="6478" w:type="dxa"/>
          </w:tcPr>
          <w:p w:rsidR="00E31606" w:rsidRPr="001D17BB" w:rsidRDefault="00E31606" w:rsidP="00092140">
            <w:pPr>
              <w:ind w:left="170" w:hanging="170"/>
              <w:rPr>
                <w:rFonts w:asciiTheme="majorBidi" w:hAnsiTheme="majorBidi" w:cstheme="majorBidi"/>
                <w:sz w:val="20"/>
                <w:szCs w:val="20"/>
                <w:lang w:val="az-Latn-AZ"/>
              </w:rPr>
            </w:pPr>
            <w:r w:rsidRPr="001D17BB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1. Yoxsulluq meyarı. Az.DİU, Elmi-tədqiqat işlərinin yekununa həsr olunmuş konfrans materialları, Bakı, 2012</w:t>
            </w:r>
          </w:p>
          <w:p w:rsidR="00E31606" w:rsidRPr="001D17BB" w:rsidRDefault="00E31606" w:rsidP="00092140">
            <w:pPr>
              <w:ind w:left="170" w:hanging="170"/>
              <w:rPr>
                <w:rFonts w:asciiTheme="majorBidi" w:hAnsiTheme="majorBidi" w:cstheme="majorBidi"/>
                <w:sz w:val="20"/>
                <w:szCs w:val="20"/>
                <w:lang w:val="az-Latn-AZ"/>
              </w:rPr>
            </w:pPr>
            <w:r w:rsidRPr="001D17BB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2. Əhali gəlirlərinin qeyri-bərabər bölüşdürülməsi probleminin bəzi aspektləri. “Əmək və sosial problemlər” (Elmi əsərlər toplusu), №3 (11) 2012</w:t>
            </w:r>
          </w:p>
          <w:p w:rsidR="00E31606" w:rsidRPr="001D17BB" w:rsidRDefault="00E31606" w:rsidP="00092140">
            <w:pPr>
              <w:ind w:left="170" w:hanging="170"/>
              <w:rPr>
                <w:rFonts w:asciiTheme="majorBidi" w:hAnsiTheme="majorBidi" w:cstheme="majorBidi"/>
                <w:sz w:val="20"/>
                <w:szCs w:val="20"/>
                <w:lang w:val="az-Latn-AZ"/>
              </w:rPr>
            </w:pPr>
            <w:r w:rsidRPr="001D17BB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3. Əhalinin sosial müdafiəsi. Az.DİU, Elmi-tədqiqat işlərinin yekununa həsr olunmuş konfrans materialları, Bakı, 2013</w:t>
            </w:r>
          </w:p>
          <w:p w:rsidR="00E31606" w:rsidRPr="001D17BB" w:rsidRDefault="00E31606" w:rsidP="00092140">
            <w:pPr>
              <w:ind w:left="170" w:hanging="170"/>
              <w:rPr>
                <w:rFonts w:asciiTheme="majorBidi" w:hAnsiTheme="majorBidi" w:cstheme="majorBidi"/>
                <w:sz w:val="20"/>
                <w:szCs w:val="20"/>
                <w:lang w:val="az-Latn-AZ"/>
              </w:rPr>
            </w:pPr>
            <w:r w:rsidRPr="001D17BB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 xml:space="preserve">4. </w:t>
            </w:r>
            <w:r w:rsidRPr="001D17BB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Индексация доходов населения</w:t>
            </w:r>
            <w:r w:rsidRPr="001D17BB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 xml:space="preserve">. </w:t>
            </w:r>
            <w:r w:rsidRPr="001D17BB">
              <w:rPr>
                <w:rFonts w:asciiTheme="majorBidi" w:hAnsiTheme="majorBidi" w:cstheme="majorBidi"/>
                <w:sz w:val="20"/>
                <w:szCs w:val="20"/>
                <w:lang w:val="ru-RU"/>
              </w:rPr>
              <w:t>«Экономика и предпринимательство», №7, 2015 Москва</w:t>
            </w:r>
          </w:p>
          <w:p w:rsidR="00E31606" w:rsidRPr="001D17BB" w:rsidRDefault="00E31606" w:rsidP="00092140">
            <w:pPr>
              <w:ind w:left="170" w:hanging="170"/>
              <w:rPr>
                <w:rFonts w:asciiTheme="majorBidi" w:hAnsiTheme="majorBidi" w:cstheme="majorBidi"/>
                <w:sz w:val="20"/>
                <w:szCs w:val="20"/>
              </w:rPr>
            </w:pPr>
            <w:r w:rsidRPr="001D17BB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 xml:space="preserve">5. Yoxsulluq və Azərbaycanda onun azaldılması məsələləri. “Əmək və sosial problemlər” (Elmi əsərlər toplusu), </w:t>
            </w:r>
            <w:r w:rsidRPr="001D17BB">
              <w:rPr>
                <w:rFonts w:asciiTheme="majorBidi" w:hAnsiTheme="majorBidi" w:cstheme="majorBidi"/>
                <w:sz w:val="20"/>
                <w:szCs w:val="20"/>
                <w:lang w:val="en-GB"/>
              </w:rPr>
              <w:t>№</w:t>
            </w:r>
            <w:r w:rsidRPr="001D17BB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 xml:space="preserve"> 2 (16) 201</w:t>
            </w:r>
            <w:r w:rsidRPr="001D17B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  <w:p w:rsidR="00E31606" w:rsidRPr="002D3558" w:rsidRDefault="00E31606" w:rsidP="00092140">
            <w:pPr>
              <w:ind w:left="170" w:hanging="170"/>
              <w:rPr>
                <w:rFonts w:asciiTheme="majorBidi" w:hAnsiTheme="majorBidi" w:cstheme="majorBidi"/>
                <w:sz w:val="20"/>
                <w:szCs w:val="20"/>
                <w:lang w:val="az-Latn-AZ"/>
              </w:rPr>
            </w:pPr>
            <w:r w:rsidRPr="002D3558">
              <w:rPr>
                <w:rFonts w:asciiTheme="majorBidi" w:hAnsiTheme="majorBidi" w:cstheme="majorBidi"/>
                <w:sz w:val="20"/>
                <w:szCs w:val="20"/>
              </w:rPr>
              <w:t xml:space="preserve">6. </w:t>
            </w:r>
            <w:r w:rsidRPr="002D3558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Azərbaycanda yoxsulluğa səbəb olan amillər və onların aradan qaldırılması yolları. “Kooperasiya” elmi-praktiki jurnal № 2 (41)-2016, Bakı</w:t>
            </w:r>
          </w:p>
          <w:p w:rsidR="00E31606" w:rsidRPr="002D3558" w:rsidRDefault="00E31606" w:rsidP="00092140">
            <w:pPr>
              <w:ind w:left="170" w:hanging="170"/>
              <w:rPr>
                <w:rFonts w:asciiTheme="majorBidi" w:hAnsiTheme="majorBidi" w:cstheme="majorBidi"/>
                <w:sz w:val="20"/>
                <w:szCs w:val="20"/>
                <w:lang w:val="az-Latn-AZ"/>
              </w:rPr>
            </w:pPr>
            <w:r w:rsidRPr="002D3558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 xml:space="preserve">7. </w:t>
            </w:r>
            <w:r w:rsidRPr="002D3558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Д</w:t>
            </w:r>
            <w:r w:rsidRPr="002D3558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 xml:space="preserve">оходы и расходы населения, как индикаторы уровня жизни. XII </w:t>
            </w:r>
            <w:r w:rsidRPr="002D3558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Международная научно-техническая конференция, 19-20 апреля, 2018 года,  Могилев</w:t>
            </w:r>
          </w:p>
          <w:p w:rsidR="00E31606" w:rsidRPr="002D3558" w:rsidRDefault="00E31606" w:rsidP="00092140">
            <w:pPr>
              <w:ind w:left="170" w:hanging="170"/>
              <w:rPr>
                <w:rFonts w:asciiTheme="majorBidi" w:hAnsiTheme="majorBidi" w:cstheme="majorBidi"/>
                <w:sz w:val="20"/>
                <w:szCs w:val="20"/>
                <w:lang w:val="az-Latn-AZ"/>
              </w:rPr>
            </w:pPr>
            <w:r w:rsidRPr="002D3558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8. Respublikamızın tranzit potensialının genişləndirilməsinin prioritet məsələləri. Sumqayıt Dövlət Universiteti, Konfrans materialları, 2020, № 6</w:t>
            </w:r>
          </w:p>
          <w:p w:rsidR="00E31606" w:rsidRPr="002D3558" w:rsidRDefault="00E31606" w:rsidP="00303C25">
            <w:pPr>
              <w:ind w:left="170" w:hanging="170"/>
              <w:rPr>
                <w:rFonts w:asciiTheme="majorBidi" w:hAnsiTheme="majorBidi" w:cstheme="majorBidi"/>
                <w:sz w:val="20"/>
                <w:szCs w:val="20"/>
                <w:lang w:val="az-Latn-AZ"/>
              </w:rPr>
            </w:pPr>
            <w:r w:rsidRPr="002D3558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9. FORMING AN EFFECTIVE STRATEGIC MANAGEMENT SYSTEM. 37</w:t>
            </w:r>
            <w:r w:rsidRPr="002D3558">
              <w:rPr>
                <w:rFonts w:asciiTheme="majorBidi" w:hAnsiTheme="majorBidi" w:cstheme="majorBidi"/>
                <w:sz w:val="20"/>
                <w:szCs w:val="20"/>
                <w:vertAlign w:val="superscript"/>
                <w:lang w:val="az-Latn-AZ"/>
              </w:rPr>
              <w:t>th</w:t>
            </w:r>
            <w:r w:rsidRPr="002D3558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 xml:space="preserve"> IBIMA Conference, 2021, Cordoba, Spain</w:t>
            </w:r>
          </w:p>
          <w:p w:rsidR="00E31606" w:rsidRPr="00ED3905" w:rsidRDefault="00303C25" w:rsidP="00092140">
            <w:pPr>
              <w:ind w:left="170" w:hanging="17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10</w:t>
            </w:r>
            <w:r w:rsidR="00E31606" w:rsidRPr="002D3558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 xml:space="preserve">. </w:t>
            </w:r>
            <w:r w:rsidR="00E31606" w:rsidRPr="002D3558">
              <w:rPr>
                <w:rFonts w:asciiTheme="majorBidi" w:hAnsiTheme="majorBidi" w:cstheme="majorBidi"/>
                <w:spacing w:val="2"/>
                <w:sz w:val="20"/>
                <w:szCs w:val="20"/>
                <w:lang w:val="az-Latn-AZ"/>
              </w:rPr>
              <w:t>COVID-19 PANDEMIYASI RƏQƏMSAL İQTİSADİYYATIN</w:t>
            </w:r>
            <w:r w:rsidR="00E31606" w:rsidRPr="002D3558">
              <w:rPr>
                <w:rFonts w:asciiTheme="majorBidi" w:hAnsiTheme="majorBidi" w:cstheme="majorBidi"/>
                <w:spacing w:val="2"/>
                <w:sz w:val="20"/>
                <w:szCs w:val="20"/>
                <w:u w:val="single"/>
                <w:lang w:val="az-Latn-AZ"/>
              </w:rPr>
              <w:t xml:space="preserve"> </w:t>
            </w:r>
            <w:r w:rsidR="00E31606" w:rsidRPr="002D3558">
              <w:rPr>
                <w:rFonts w:asciiTheme="majorBidi" w:hAnsiTheme="majorBidi" w:cstheme="majorBidi"/>
                <w:spacing w:val="2"/>
                <w:sz w:val="20"/>
                <w:szCs w:val="20"/>
                <w:lang w:val="az-Latn-AZ"/>
              </w:rPr>
              <w:t xml:space="preserve">İNKİŞAFINA TƏSİR GÖSTƏRƏN AMİLLƏRDƏN BİRİ KİMİ. </w:t>
            </w:r>
            <w:r w:rsidR="00E31606" w:rsidRPr="002D3558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 xml:space="preserve">“World Science: problems and innovations” </w:t>
            </w:r>
            <w:r w:rsidR="00E31606" w:rsidRPr="002D3558">
              <w:rPr>
                <w:rFonts w:asciiTheme="majorBidi" w:hAnsiTheme="majorBidi" w:cstheme="majorBidi"/>
                <w:sz w:val="20"/>
                <w:szCs w:val="20"/>
              </w:rPr>
              <w:t xml:space="preserve">dedicated to the 115th anniversary of </w:t>
            </w:r>
            <w:proofErr w:type="spellStart"/>
            <w:r w:rsidR="00E31606" w:rsidRPr="00ED3905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Mahammadhuseyn</w:t>
            </w:r>
            <w:proofErr w:type="spellEnd"/>
            <w:r w:rsidR="00E31606" w:rsidRPr="00ED390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E31606" w:rsidRPr="00ED3905">
              <w:rPr>
                <w:rFonts w:asciiTheme="majorBidi" w:hAnsiTheme="majorBidi" w:cstheme="majorBidi"/>
                <w:sz w:val="20"/>
                <w:szCs w:val="20"/>
              </w:rPr>
              <w:t>Shahriyar</w:t>
            </w:r>
            <w:proofErr w:type="spellEnd"/>
            <w:r w:rsidR="00E31606" w:rsidRPr="00ED3905">
              <w:rPr>
                <w:rFonts w:asciiTheme="majorBidi" w:hAnsiTheme="majorBidi" w:cstheme="majorBidi"/>
                <w:sz w:val="20"/>
                <w:szCs w:val="20"/>
              </w:rPr>
              <w:t>, July 26 2021, East Lansing, Michigan / USA</w:t>
            </w:r>
          </w:p>
          <w:p w:rsidR="00E31606" w:rsidRPr="00ED3905" w:rsidRDefault="00E31606" w:rsidP="00092140">
            <w:pPr>
              <w:shd w:val="clear" w:color="auto" w:fill="FFFFFF"/>
              <w:ind w:left="170" w:hanging="170"/>
              <w:rPr>
                <w:rFonts w:asciiTheme="majorBidi" w:hAnsiTheme="majorBidi" w:cstheme="majorBidi"/>
                <w:sz w:val="20"/>
                <w:szCs w:val="20"/>
                <w:lang w:val="az-Latn-AZ"/>
              </w:rPr>
            </w:pPr>
            <w:r w:rsidRPr="00ED3905">
              <w:rPr>
                <w:rFonts w:asciiTheme="majorBidi" w:hAnsiTheme="majorBidi" w:cstheme="majorBidi"/>
                <w:sz w:val="20"/>
                <w:szCs w:val="20"/>
              </w:rPr>
              <w:t>İSBN: 978-605-74249-1-4</w:t>
            </w:r>
          </w:p>
          <w:p w:rsidR="00E31606" w:rsidRPr="00ED3905" w:rsidRDefault="00303C25" w:rsidP="00092140">
            <w:pPr>
              <w:ind w:left="170" w:hanging="17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11</w:t>
            </w:r>
            <w:r w:rsidR="00E31606" w:rsidRPr="00ED3905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 xml:space="preserve">. </w:t>
            </w:r>
            <w:r w:rsidR="00ED3905" w:rsidRPr="00ED3905">
              <w:rPr>
                <w:rFonts w:asciiTheme="majorBidi" w:hAnsiTheme="majorBidi" w:cstheme="majorBidi"/>
                <w:bCs/>
                <w:sz w:val="20"/>
                <w:szCs w:val="20"/>
                <w:lang w:val="az-Latn-AZ"/>
              </w:rPr>
              <w:t>Respublikamızda əhalinin cari məşğulluq səviyyəsinin yaşayış səviyyəsinə təsiri</w:t>
            </w:r>
            <w:r w:rsidR="00E31606" w:rsidRPr="00ED3905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 xml:space="preserve">. The XVII İnternational Scientific Symposium. Karabakh: </w:t>
            </w:r>
            <w:r w:rsidR="00E31606" w:rsidRPr="00ED3905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E31606" w:rsidRPr="00ED3905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ay To Victory, Proceedings book</w:t>
            </w:r>
            <w:r w:rsidR="00E31606" w:rsidRPr="00ED3905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="00E31606" w:rsidRPr="00ED3905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Avgust 28/2021</w:t>
            </w:r>
            <w:r w:rsidR="00E31606" w:rsidRPr="00ED3905">
              <w:rPr>
                <w:rFonts w:asciiTheme="majorBidi" w:hAnsiTheme="majorBidi" w:cstheme="majorBidi"/>
                <w:sz w:val="20"/>
                <w:szCs w:val="20"/>
              </w:rPr>
              <w:t xml:space="preserve">,  </w:t>
            </w:r>
            <w:r w:rsidR="00E31606" w:rsidRPr="00ED3905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Göteborg, S</w:t>
            </w:r>
            <w:proofErr w:type="spellStart"/>
            <w:r w:rsidR="00E31606" w:rsidRPr="00ED3905">
              <w:rPr>
                <w:rFonts w:asciiTheme="majorBidi" w:hAnsiTheme="majorBidi" w:cstheme="majorBidi"/>
                <w:sz w:val="20"/>
                <w:szCs w:val="20"/>
              </w:rPr>
              <w:t>weden</w:t>
            </w:r>
            <w:proofErr w:type="spellEnd"/>
            <w:r w:rsidR="00E31606" w:rsidRPr="00ED3905">
              <w:rPr>
                <w:rFonts w:asciiTheme="majorBidi" w:hAnsiTheme="majorBidi" w:cstheme="majorBidi"/>
                <w:sz w:val="20"/>
                <w:szCs w:val="20"/>
              </w:rPr>
              <w:t xml:space="preserve">.   </w:t>
            </w:r>
            <w:r w:rsidR="00E31606" w:rsidRPr="00ED3905">
              <w:rPr>
                <w:rFonts w:asciiTheme="majorBidi" w:eastAsia="TimesNewRomanPSMT" w:hAnsiTheme="majorBidi" w:cstheme="majorBidi"/>
                <w:sz w:val="20"/>
                <w:szCs w:val="20"/>
              </w:rPr>
              <w:t xml:space="preserve">İSBN: </w:t>
            </w:r>
            <w:r w:rsidR="00E31606" w:rsidRPr="00ED3905">
              <w:rPr>
                <w:rFonts w:asciiTheme="majorBidi" w:hAnsiTheme="majorBidi" w:cstheme="majorBidi"/>
                <w:sz w:val="20"/>
                <w:szCs w:val="20"/>
              </w:rPr>
              <w:t>978-605-74249-3-8</w:t>
            </w:r>
          </w:p>
          <w:p w:rsidR="00E31606" w:rsidRPr="00ED3905" w:rsidRDefault="00303C25" w:rsidP="00092140">
            <w:pPr>
              <w:shd w:val="clear" w:color="auto" w:fill="FFFFFF"/>
              <w:ind w:left="170" w:hanging="170"/>
              <w:rPr>
                <w:rFonts w:asciiTheme="majorBidi" w:hAnsiTheme="majorBidi" w:cstheme="majorBidi"/>
                <w:sz w:val="20"/>
                <w:szCs w:val="20"/>
                <w:lang w:val="az-Latn-AZ"/>
              </w:rPr>
            </w:pPr>
            <w:r>
              <w:rPr>
                <w:rFonts w:asciiTheme="majorBidi" w:hAnsiTheme="majorBidi" w:cstheme="majorBidi"/>
                <w:kern w:val="36"/>
                <w:sz w:val="20"/>
                <w:szCs w:val="20"/>
                <w:lang w:val="az-Latn-AZ"/>
              </w:rPr>
              <w:t>12</w:t>
            </w:r>
            <w:r w:rsidR="00E31606" w:rsidRPr="00ED3905">
              <w:rPr>
                <w:rFonts w:asciiTheme="majorBidi" w:hAnsiTheme="majorBidi" w:cstheme="majorBidi"/>
                <w:kern w:val="36"/>
                <w:sz w:val="20"/>
                <w:szCs w:val="20"/>
                <w:lang w:val="az-Latn-AZ"/>
              </w:rPr>
              <w:t xml:space="preserve">. </w:t>
            </w:r>
            <w:r w:rsidR="00ED3905" w:rsidRPr="00ED3905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Влияние</w:t>
            </w:r>
            <w:r w:rsidR="00ED3905" w:rsidRPr="005B1BA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D3905" w:rsidRPr="00ED3905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инфляции</w:t>
            </w:r>
            <w:r w:rsidR="00ED3905" w:rsidRPr="005B1BA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D3905" w:rsidRPr="00ED3905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на</w:t>
            </w:r>
            <w:r w:rsidR="00ED3905" w:rsidRPr="005B1BA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D3905" w:rsidRPr="00ED3905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доходы</w:t>
            </w:r>
            <w:r w:rsidR="00ED3905" w:rsidRPr="005B1BA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D3905" w:rsidRPr="00ED3905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населения</w:t>
            </w:r>
            <w:r w:rsidR="00E31606" w:rsidRPr="00ED3905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. Azərbaycan Respublikası və Ukrayna Respublikası arasındakı əməkdaşlığın 30 illiyi münasibətilə Ukraynada təşkil olunan “CIVILIZATIONAL BRIDGES BETWEEN PEOPLE AND CULTURES” adlı XXV Beynəlxalq elmi konfrans, Ukrayna, 23 aprel 2022/ İSBN: 978-605-71427-5-7</w:t>
            </w:r>
          </w:p>
          <w:p w:rsidR="00E31606" w:rsidRPr="002D3558" w:rsidRDefault="00E31606" w:rsidP="00092140">
            <w:pPr>
              <w:shd w:val="clear" w:color="auto" w:fill="FFFFFF"/>
              <w:ind w:left="170" w:hanging="170"/>
              <w:outlineLvl w:val="0"/>
              <w:rPr>
                <w:rFonts w:asciiTheme="majorBidi" w:hAnsiTheme="majorBidi" w:cstheme="majorBidi"/>
                <w:sz w:val="20"/>
                <w:szCs w:val="20"/>
                <w:lang w:val="az-Latn-AZ"/>
              </w:rPr>
            </w:pPr>
            <w:r w:rsidRPr="00ED3905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1</w:t>
            </w:r>
            <w:r w:rsidR="00303C25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3</w:t>
            </w:r>
            <w:r w:rsidRPr="00ED3905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. Rəqəmsal iqtisadiyyatın inkişafında beynəlxalq təşkilatların rolu. “Müasir Azərbaycan dövlətinin</w:t>
            </w:r>
            <w:r w:rsidRPr="002D3558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 xml:space="preserve"> formalaşmasında Heydər Əliyevin rolu” adlı respublika elmi-praktik konfransı, 5 May, 2022</w:t>
            </w:r>
          </w:p>
          <w:p w:rsidR="00E31606" w:rsidRPr="002D3558" w:rsidRDefault="00303C25" w:rsidP="00092140">
            <w:pPr>
              <w:shd w:val="clear" w:color="auto" w:fill="FFFFFF"/>
              <w:ind w:left="170" w:hanging="170"/>
              <w:outlineLvl w:val="0"/>
              <w:rPr>
                <w:rStyle w:val="a8"/>
                <w:rFonts w:asciiTheme="majorBidi" w:hAnsiTheme="majorBidi" w:cstheme="majorBidi"/>
                <w:b w:val="0"/>
                <w:bCs w:val="0"/>
                <w:sz w:val="20"/>
                <w:szCs w:val="20"/>
                <w:shd w:val="clear" w:color="auto" w:fill="FFFFFF"/>
                <w:lang w:val="az-Latn-A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>14</w:t>
            </w:r>
            <w:r w:rsidR="00E31606" w:rsidRPr="002D3558">
              <w:rPr>
                <w:rFonts w:asciiTheme="majorBidi" w:hAnsiTheme="majorBidi" w:cstheme="majorBidi"/>
                <w:sz w:val="20"/>
                <w:szCs w:val="20"/>
                <w:lang w:val="az-Latn-AZ"/>
              </w:rPr>
              <w:t xml:space="preserve">. THE DEVELOPMENT LEVEL OF ELECTRONIC COMMERCE IN THE REPUBLIC OF AZERBAIJAN. </w:t>
            </w:r>
            <w:r w:rsidR="00E31606" w:rsidRPr="002D3558">
              <w:rPr>
                <w:rStyle w:val="a8"/>
                <w:rFonts w:asciiTheme="majorBidi" w:hAnsiTheme="majorBidi" w:cstheme="majorBidi"/>
                <w:b w:val="0"/>
                <w:bCs w:val="0"/>
                <w:sz w:val="20"/>
                <w:szCs w:val="20"/>
                <w:shd w:val="clear" w:color="auto" w:fill="FFFFFF"/>
                <w:lang w:val="az-Latn-AZ"/>
              </w:rPr>
              <w:t>2-3 dekabr tarixlərində UNEC-də keçirilən “Regional inkişaf və rəqəmsal iqtisadiyyat” mövzusunda beynəlxalq konfrans, 2022</w:t>
            </w:r>
          </w:p>
          <w:p w:rsidR="00764593" w:rsidRPr="005B1BA3" w:rsidRDefault="00E31606" w:rsidP="00092140">
            <w:pPr>
              <w:pStyle w:val="a3"/>
              <w:ind w:left="170" w:hanging="17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</w:pPr>
            <w:r w:rsidRPr="002D3558">
              <w:rPr>
                <w:rStyle w:val="a8"/>
                <w:rFonts w:asciiTheme="majorBidi" w:hAnsiTheme="majorBidi" w:cstheme="majorBidi"/>
                <w:sz w:val="20"/>
                <w:szCs w:val="20"/>
                <w:shd w:val="clear" w:color="auto" w:fill="FFFFFF"/>
                <w:lang w:val="ru-RU"/>
              </w:rPr>
              <w:t>1</w:t>
            </w:r>
            <w:r w:rsidR="00303C25">
              <w:rPr>
                <w:rStyle w:val="a8"/>
                <w:rFonts w:asciiTheme="majorBidi" w:hAnsiTheme="majorBidi" w:cstheme="majorBidi"/>
                <w:sz w:val="20"/>
                <w:szCs w:val="20"/>
                <w:shd w:val="clear" w:color="auto" w:fill="FFFFFF"/>
                <w:lang w:val="az-Latn-AZ"/>
              </w:rPr>
              <w:t>5</w:t>
            </w:r>
            <w:r w:rsidRPr="002D3558">
              <w:rPr>
                <w:rStyle w:val="a8"/>
                <w:rFonts w:asciiTheme="majorBidi" w:hAnsiTheme="majorBidi" w:cstheme="majorBidi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r w:rsidRPr="002D3558">
              <w:rPr>
                <w:rStyle w:val="hps"/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>Обучение и</w:t>
            </w:r>
            <w:r w:rsidRPr="002D3558">
              <w:rPr>
                <w:rStyle w:val="shorttext"/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2D3558">
              <w:rPr>
                <w:rStyle w:val="hps"/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>характеристика</w:t>
            </w:r>
            <w:r w:rsidRPr="002D3558">
              <w:rPr>
                <w:rStyle w:val="shorttext"/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2D3558">
              <w:rPr>
                <w:rStyle w:val="hps"/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>его</w:t>
            </w:r>
            <w:r w:rsidRPr="002D3558">
              <w:rPr>
                <w:rStyle w:val="shorttext"/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2D3558">
              <w:rPr>
                <w:rStyle w:val="hps"/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 xml:space="preserve">видов. 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Yeni</w:t>
            </w:r>
            <w:proofErr w:type="spellEnd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d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>ö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vrd</w:t>
            </w:r>
            <w:proofErr w:type="spellEnd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 xml:space="preserve">ə 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t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>ə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hsil</w:t>
            </w:r>
            <w:proofErr w:type="spellEnd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v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 xml:space="preserve">ə 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t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>ə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dqiqat</w:t>
            </w:r>
            <w:proofErr w:type="spellEnd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f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>ə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aliyy</w:t>
            </w:r>
            <w:proofErr w:type="spellEnd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>ə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ti</w:t>
            </w:r>
            <w:proofErr w:type="spellEnd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reall</w:t>
            </w:r>
            <w:proofErr w:type="spellEnd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>ı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qlar</w:t>
            </w:r>
            <w:proofErr w:type="spellEnd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v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>ə ç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>ğı</w:t>
            </w:r>
            <w:proofErr w:type="spellEnd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r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>ış</w:t>
            </w:r>
            <w:proofErr w:type="spellEnd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lar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 xml:space="preserve">” 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Beyn</w:t>
            </w:r>
            <w:proofErr w:type="spellEnd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>ə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lxalq</w:t>
            </w:r>
            <w:proofErr w:type="spellEnd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>-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elmi</w:t>
            </w:r>
            <w:proofErr w:type="spellEnd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konfrans</w:t>
            </w:r>
            <w:proofErr w:type="spellEnd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 xml:space="preserve">, 16-17 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dekabr</w:t>
            </w:r>
            <w:proofErr w:type="spellEnd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 xml:space="preserve"> 2022, 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Ming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>əç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evir</w:t>
            </w:r>
            <w:proofErr w:type="spellEnd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D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>ö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vl</w:t>
            </w:r>
            <w:proofErr w:type="spellEnd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>ə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t</w:t>
            </w:r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Universiteti</w:t>
            </w:r>
            <w:proofErr w:type="spellEnd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Az</w:t>
            </w:r>
            <w:proofErr w:type="spellEnd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ru-RU"/>
              </w:rPr>
              <w:t>ə</w:t>
            </w:r>
            <w:proofErr w:type="spellStart"/>
            <w:r w:rsidRPr="002D355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rbaycan</w:t>
            </w:r>
            <w:proofErr w:type="spellEnd"/>
          </w:p>
          <w:p w:rsidR="00520D3E" w:rsidRPr="00520D3E" w:rsidRDefault="00303C25" w:rsidP="00092140">
            <w:pPr>
              <w:pStyle w:val="a3"/>
              <w:ind w:left="170" w:hanging="17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lang w:val="az-Latn-AZ" w:eastAsia="ru-RU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16</w:t>
            </w:r>
            <w:r w:rsidR="00520D3E" w:rsidRPr="00520D3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. </w:t>
            </w:r>
            <w:r w:rsidR="00520D3E" w:rsidRPr="00520D3E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lang w:val="az-Latn-AZ" w:eastAsia="ru-RU"/>
              </w:rPr>
              <w:t xml:space="preserve">İqtisadi inkişaf modelləri və onların əhalinin yaşayış səviyyəsinə, gəlir </w:t>
            </w:r>
            <w:proofErr w:type="gramStart"/>
            <w:r w:rsidR="00520D3E" w:rsidRPr="00520D3E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lang w:val="az-Latn-AZ" w:eastAsia="ru-RU"/>
              </w:rPr>
              <w:t>və  xərclərinə</w:t>
            </w:r>
            <w:proofErr w:type="gramEnd"/>
            <w:r w:rsidR="00520D3E" w:rsidRPr="00520D3E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lang w:val="az-Latn-AZ" w:eastAsia="ru-RU"/>
              </w:rPr>
              <w:t xml:space="preserve"> təsiri. “Şuşa ili”nə həsr olunan Gənc alimlərin Beynəlxalq  Elmi Konfransı, Gəncə Dövlət Universiteti, 2022</w:t>
            </w:r>
          </w:p>
          <w:p w:rsidR="00520D3E" w:rsidRDefault="00303C25" w:rsidP="00092140">
            <w:pPr>
              <w:pStyle w:val="a3"/>
              <w:ind w:left="170" w:hanging="17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az-Latn-AZ"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lang w:val="az-Latn-AZ" w:eastAsia="ru-RU"/>
              </w:rPr>
              <w:t>17</w:t>
            </w:r>
            <w:r w:rsidR="00520D3E" w:rsidRPr="00520D3E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lang w:val="az-Latn-AZ" w:eastAsia="ru-RU"/>
              </w:rPr>
              <w:t xml:space="preserve">. </w:t>
            </w:r>
            <w:r w:rsidR="00520D3E" w:rsidRPr="00520D3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az-Latn-AZ"/>
              </w:rPr>
              <w:t>Əhalinin həyat səviyyəsinin formalaşmasında gəlir və xərclərin rolu. “Qloballaşan dünyada elmin aktual problemləri” adlı multidisiplinar beynəlxalq elmi konfrans. Əskişəhər, Türkiyə. 30 sentyabr 2023</w:t>
            </w:r>
          </w:p>
          <w:p w:rsidR="007921E1" w:rsidRPr="009B005B" w:rsidRDefault="00303C25" w:rsidP="00092140">
            <w:pPr>
              <w:pStyle w:val="a3"/>
              <w:ind w:left="170" w:hanging="17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az-Latn-AZ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az-Latn-AZ"/>
              </w:rPr>
              <w:t>18</w:t>
            </w:r>
            <w:r w:rsidR="007921E1" w:rsidRPr="009B005B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val="az-Latn-AZ"/>
              </w:rPr>
              <w:t xml:space="preserve">. </w:t>
            </w:r>
            <w:r w:rsidR="007921E1" w:rsidRPr="009B005B">
              <w:rPr>
                <w:rFonts w:ascii="Times New Roman" w:hAnsi="Times New Roman"/>
                <w:b w:val="0"/>
                <w:bCs w:val="0"/>
                <w:sz w:val="20"/>
                <w:szCs w:val="20"/>
                <w:lang w:val="az-Latn-AZ"/>
              </w:rPr>
              <w:t>Azərbaycan Respublikasının regionları üzrə əhalinin pul gəlirləri və istehlak xərclərinin qiymətləndirilməsi. “İpək yolu”, Azərbaycan Universitetinin Elmi Jurnalı.</w:t>
            </w:r>
            <w:r w:rsidR="007921E1" w:rsidRPr="009B005B">
              <w:rPr>
                <w:rFonts w:asciiTheme="majorBidi" w:eastAsia="Calibri" w:hAnsiTheme="majorBidi" w:cstheme="majorBidi"/>
                <w:b w:val="0"/>
                <w:bCs w:val="0"/>
                <w:sz w:val="20"/>
                <w:szCs w:val="20"/>
                <w:lang w:val="az-Latn-AZ"/>
              </w:rPr>
              <w:t xml:space="preserve"> 2024, </w:t>
            </w:r>
            <w:r w:rsidR="007921E1" w:rsidRPr="009B005B">
              <w:rPr>
                <w:rFonts w:ascii="Times New Roman" w:hAnsi="Times New Roman"/>
                <w:b w:val="0"/>
                <w:bCs w:val="0"/>
                <w:sz w:val="20"/>
                <w:szCs w:val="20"/>
                <w:lang w:val="az-Latn-AZ"/>
              </w:rPr>
              <w:t>№1</w:t>
            </w:r>
          </w:p>
          <w:p w:rsidR="00A80BE6" w:rsidRPr="00764593" w:rsidRDefault="00303C25" w:rsidP="00092140">
            <w:pPr>
              <w:pStyle w:val="TableParagraph"/>
              <w:ind w:left="170" w:hanging="170"/>
              <w:rPr>
                <w:rFonts w:ascii="Times New Roman"/>
                <w:sz w:val="20"/>
                <w:lang w:val="az-Latn-AZ"/>
              </w:rPr>
            </w:pPr>
            <w:r>
              <w:rPr>
                <w:rFonts w:ascii="Times New Roman"/>
                <w:sz w:val="20"/>
                <w:szCs w:val="20"/>
                <w:lang w:val="az-Latn-AZ"/>
              </w:rPr>
              <w:t>19</w:t>
            </w:r>
            <w:r w:rsidR="007921E1" w:rsidRPr="009B005B">
              <w:rPr>
                <w:rFonts w:ascii="Times New Roman"/>
                <w:sz w:val="20"/>
                <w:szCs w:val="20"/>
                <w:lang w:val="az-Latn-AZ"/>
              </w:rPr>
              <w:t xml:space="preserve">. </w:t>
            </w:r>
            <w:r w:rsidR="007921E1" w:rsidRPr="009B005B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Azərbaycan əhalisinin gəlir və xərclərinin dünya ölkələri ilə müqayisəli təhlili. “Dayanıqlı inkişaf” jurnalı, Mingəçevir Dövlət Universiteti. </w:t>
            </w:r>
            <w:r w:rsidR="007921E1" w:rsidRPr="009B005B">
              <w:rPr>
                <w:rFonts w:asciiTheme="majorBidi" w:eastAsia="Calibri" w:hAnsiTheme="majorBidi" w:cstheme="majorBidi"/>
                <w:sz w:val="20"/>
                <w:szCs w:val="20"/>
                <w:lang w:val="az-Latn-AZ"/>
              </w:rPr>
              <w:t>2024, №1</w:t>
            </w:r>
          </w:p>
        </w:tc>
      </w:tr>
    </w:tbl>
    <w:p w:rsidR="00647178" w:rsidRDefault="00647178">
      <w:bookmarkStart w:id="0" w:name="_GoBack"/>
      <w:bookmarkEnd w:id="0"/>
    </w:p>
    <w:sectPr w:rsidR="00647178">
      <w:type w:val="continuous"/>
      <w:pgSz w:w="11910" w:h="16840"/>
      <w:pgMar w:top="14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52704"/>
    <w:multiLevelType w:val="hybridMultilevel"/>
    <w:tmpl w:val="CD7EE9C6"/>
    <w:lvl w:ilvl="0" w:tplc="84C856C8">
      <w:start w:val="1"/>
      <w:numFmt w:val="decimal"/>
      <w:lvlText w:val="%1."/>
      <w:lvlJc w:val="left"/>
      <w:pPr>
        <w:ind w:left="720" w:hanging="360"/>
      </w:pPr>
      <w:rPr>
        <w:rFonts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0BE6"/>
    <w:rsid w:val="00092140"/>
    <w:rsid w:val="001B3961"/>
    <w:rsid w:val="001D17BB"/>
    <w:rsid w:val="0028790F"/>
    <w:rsid w:val="002D3558"/>
    <w:rsid w:val="00303C25"/>
    <w:rsid w:val="004273E6"/>
    <w:rsid w:val="00520D3E"/>
    <w:rsid w:val="005B1BA3"/>
    <w:rsid w:val="00647178"/>
    <w:rsid w:val="00764593"/>
    <w:rsid w:val="0077428B"/>
    <w:rsid w:val="007921E1"/>
    <w:rsid w:val="00933F9C"/>
    <w:rsid w:val="00973E90"/>
    <w:rsid w:val="009B005B"/>
    <w:rsid w:val="00A80BE6"/>
    <w:rsid w:val="00BA7DEF"/>
    <w:rsid w:val="00C14B84"/>
    <w:rsid w:val="00E31606"/>
    <w:rsid w:val="00E54038"/>
    <w:rsid w:val="00E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73E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E90"/>
    <w:rPr>
      <w:rFonts w:ascii="Tahoma" w:eastAsia="Arial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E31606"/>
    <w:rPr>
      <w:color w:val="0000FF"/>
      <w:u w:val="single"/>
    </w:rPr>
  </w:style>
  <w:style w:type="character" w:customStyle="1" w:styleId="hps">
    <w:name w:val="hps"/>
    <w:rsid w:val="00E31606"/>
  </w:style>
  <w:style w:type="character" w:customStyle="1" w:styleId="shorttext">
    <w:name w:val="short_text"/>
    <w:rsid w:val="00E31606"/>
  </w:style>
  <w:style w:type="character" w:styleId="a8">
    <w:name w:val="Strong"/>
    <w:basedOn w:val="a0"/>
    <w:uiPriority w:val="22"/>
    <w:qFormat/>
    <w:rsid w:val="00E316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73E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E90"/>
    <w:rPr>
      <w:rFonts w:ascii="Tahoma" w:eastAsia="Arial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E31606"/>
    <w:rPr>
      <w:color w:val="0000FF"/>
      <w:u w:val="single"/>
    </w:rPr>
  </w:style>
  <w:style w:type="character" w:customStyle="1" w:styleId="hps">
    <w:name w:val="hps"/>
    <w:rsid w:val="00E31606"/>
  </w:style>
  <w:style w:type="character" w:customStyle="1" w:styleId="shorttext">
    <w:name w:val="short_text"/>
    <w:rsid w:val="00E31606"/>
  </w:style>
  <w:style w:type="character" w:styleId="a8">
    <w:name w:val="Strong"/>
    <w:basedOn w:val="a0"/>
    <w:uiPriority w:val="22"/>
    <w:qFormat/>
    <w:rsid w:val="00E31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Thorsten Schomann</dc:creator>
  <cp:lastModifiedBy>Vugar</cp:lastModifiedBy>
  <cp:revision>49</cp:revision>
  <dcterms:created xsi:type="dcterms:W3CDTF">2024-11-25T10:44:00Z</dcterms:created>
  <dcterms:modified xsi:type="dcterms:W3CDTF">2025-01-19T18:49:00Z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www.ilovepdf.com</vt:lpwstr>
  </property>
</Properties>
</file>